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38" w:type="dxa"/>
        <w:tblLayout w:type="fixed"/>
        <w:tblLook w:val="04A0"/>
      </w:tblPr>
      <w:tblGrid>
        <w:gridCol w:w="2268"/>
        <w:gridCol w:w="7470"/>
      </w:tblGrid>
      <w:tr w:rsidR="00C50498" w:rsidTr="008A07B0">
        <w:tc>
          <w:tcPr>
            <w:tcW w:w="2268" w:type="dxa"/>
          </w:tcPr>
          <w:p w:rsidR="00C50498" w:rsidRDefault="00C50498" w:rsidP="00496798">
            <w:bookmarkStart w:id="0" w:name="_GoBack"/>
            <w:bookmarkEnd w:id="0"/>
            <w:r>
              <w:rPr>
                <w:noProof/>
              </w:rPr>
              <w:drawing>
                <wp:inline distT="0" distB="0" distL="0" distR="0">
                  <wp:extent cx="1341120" cy="1341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FSMLOGOjpeg2.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3177" cy="1343177"/>
                          </a:xfrm>
                          <a:prstGeom prst="rect">
                            <a:avLst/>
                          </a:prstGeom>
                        </pic:spPr>
                      </pic:pic>
                    </a:graphicData>
                  </a:graphic>
                </wp:inline>
              </w:drawing>
            </w:r>
          </w:p>
        </w:tc>
        <w:tc>
          <w:tcPr>
            <w:tcW w:w="7470" w:type="dxa"/>
          </w:tcPr>
          <w:p w:rsidR="00C50498" w:rsidRPr="00D46F8B" w:rsidRDefault="00C50498" w:rsidP="00496798">
            <w:pPr>
              <w:jc w:val="center"/>
              <w:rPr>
                <w:b/>
                <w:sz w:val="24"/>
                <w:szCs w:val="24"/>
              </w:rPr>
            </w:pPr>
          </w:p>
          <w:p w:rsidR="00C50498" w:rsidRDefault="00C50498" w:rsidP="00496798">
            <w:pPr>
              <w:jc w:val="center"/>
              <w:rPr>
                <w:b/>
                <w:sz w:val="24"/>
                <w:szCs w:val="24"/>
              </w:rPr>
            </w:pPr>
            <w:r w:rsidRPr="00D46F8B">
              <w:rPr>
                <w:b/>
                <w:sz w:val="24"/>
                <w:szCs w:val="24"/>
              </w:rPr>
              <w:t>College of Micronesia – FSM</w:t>
            </w:r>
          </w:p>
          <w:p w:rsidR="00C50498" w:rsidRDefault="00C50498" w:rsidP="00496798">
            <w:pPr>
              <w:jc w:val="center"/>
              <w:rPr>
                <w:b/>
                <w:sz w:val="24"/>
                <w:szCs w:val="24"/>
              </w:rPr>
            </w:pPr>
            <w:r w:rsidRPr="00D46F8B">
              <w:rPr>
                <w:b/>
                <w:sz w:val="24"/>
                <w:szCs w:val="24"/>
              </w:rPr>
              <w:t>Fall 2012 Semester Data Summary</w:t>
            </w:r>
            <w:r w:rsidR="005E3E57">
              <w:rPr>
                <w:b/>
                <w:sz w:val="24"/>
                <w:szCs w:val="24"/>
              </w:rPr>
              <w:t xml:space="preserve"> – Enrollment &amp; Achievement</w:t>
            </w:r>
          </w:p>
          <w:p w:rsidR="00C50498" w:rsidRPr="00D46F8B" w:rsidRDefault="00C50498" w:rsidP="00496798">
            <w:pPr>
              <w:jc w:val="center"/>
              <w:rPr>
                <w:b/>
                <w:sz w:val="24"/>
                <w:szCs w:val="24"/>
              </w:rPr>
            </w:pPr>
          </w:p>
          <w:p w:rsidR="00C50498" w:rsidRDefault="00C50498" w:rsidP="00496798">
            <w:pPr>
              <w:jc w:val="center"/>
              <w:rPr>
                <w:b/>
                <w:sz w:val="20"/>
                <w:szCs w:val="20"/>
              </w:rPr>
            </w:pPr>
            <w:r w:rsidRPr="00D46F8B">
              <w:rPr>
                <w:b/>
                <w:sz w:val="20"/>
                <w:szCs w:val="20"/>
              </w:rPr>
              <w:t>Institutional Research &amp; Planning Office</w:t>
            </w:r>
          </w:p>
          <w:p w:rsidR="008A07B0" w:rsidRDefault="008A07B0" w:rsidP="00496798">
            <w:pPr>
              <w:jc w:val="center"/>
              <w:rPr>
                <w:b/>
                <w:sz w:val="20"/>
                <w:szCs w:val="20"/>
              </w:rPr>
            </w:pPr>
            <w:r>
              <w:rPr>
                <w:b/>
                <w:sz w:val="20"/>
                <w:szCs w:val="20"/>
              </w:rPr>
              <w:t>Department of institutional Effectiveness and Quality Assurance</w:t>
            </w:r>
          </w:p>
          <w:p w:rsidR="00C50498" w:rsidRDefault="000E682B" w:rsidP="00496798">
            <w:pPr>
              <w:jc w:val="center"/>
              <w:rPr>
                <w:b/>
                <w:sz w:val="20"/>
                <w:szCs w:val="20"/>
              </w:rPr>
            </w:pPr>
            <w:hyperlink r:id="rId7" w:history="1">
              <w:r w:rsidR="00C50498" w:rsidRPr="00C42DA7">
                <w:rPr>
                  <w:rStyle w:val="Hyperlink"/>
                  <w:b/>
                  <w:sz w:val="20"/>
                  <w:szCs w:val="20"/>
                </w:rPr>
                <w:t>rschplanning@comfsm.fm</w:t>
              </w:r>
            </w:hyperlink>
            <w:r w:rsidR="00C50498">
              <w:rPr>
                <w:b/>
                <w:sz w:val="20"/>
                <w:szCs w:val="20"/>
              </w:rPr>
              <w:t xml:space="preserve"> </w:t>
            </w:r>
          </w:p>
          <w:p w:rsidR="00C50498" w:rsidRPr="00D46F8B" w:rsidRDefault="00C50498" w:rsidP="00496798">
            <w:pPr>
              <w:jc w:val="center"/>
              <w:rPr>
                <w:sz w:val="20"/>
                <w:szCs w:val="20"/>
              </w:rPr>
            </w:pPr>
          </w:p>
        </w:tc>
      </w:tr>
    </w:tbl>
    <w:p w:rsidR="00FC09E8" w:rsidRDefault="00FC09E8" w:rsidP="00A30687">
      <w:pPr>
        <w:pStyle w:val="NoSpacing"/>
      </w:pPr>
    </w:p>
    <w:p w:rsidR="00A30687" w:rsidRPr="005E3E57" w:rsidRDefault="005E3E57" w:rsidP="005E3E57">
      <w:pPr>
        <w:pStyle w:val="NoSpacing"/>
        <w:rPr>
          <w:rFonts w:ascii="Times New Roman" w:hAnsi="Times New Roman" w:cs="Times New Roman"/>
          <w:sz w:val="24"/>
          <w:szCs w:val="24"/>
        </w:rPr>
      </w:pPr>
      <w:r w:rsidRPr="005E3E57">
        <w:rPr>
          <w:rFonts w:ascii="Times New Roman" w:hAnsi="Times New Roman" w:cs="Times New Roman"/>
          <w:sz w:val="24"/>
          <w:szCs w:val="24"/>
        </w:rPr>
        <w:t xml:space="preserve">The following information summaries fall semester 2012 student enrollment and achievement data for the College of Micronesia – FSM.  For additional information please contact the Institutional Research and Planning Office at Email: </w:t>
      </w:r>
      <w:hyperlink r:id="rId8" w:history="1">
        <w:r w:rsidR="009817EC" w:rsidRPr="00D266F4">
          <w:rPr>
            <w:rStyle w:val="Hyperlink"/>
            <w:rFonts w:ascii="Times New Roman" w:hAnsi="Times New Roman" w:cs="Times New Roman"/>
            <w:sz w:val="24"/>
            <w:szCs w:val="24"/>
          </w:rPr>
          <w:t>rschplanning@comfsm.fm</w:t>
        </w:r>
      </w:hyperlink>
      <w:r w:rsidRPr="005E3E57">
        <w:rPr>
          <w:rFonts w:ascii="Times New Roman" w:hAnsi="Times New Roman" w:cs="Times New Roman"/>
          <w:sz w:val="24"/>
          <w:szCs w:val="24"/>
        </w:rPr>
        <w:t xml:space="preserve"> Phone: (691) 320-2480 ext. 119 or via the College Website: </w:t>
      </w:r>
      <w:hyperlink r:id="rId9" w:history="1">
        <w:r w:rsidRPr="005E3E57">
          <w:rPr>
            <w:rStyle w:val="Hyperlink"/>
            <w:rFonts w:ascii="Times New Roman" w:hAnsi="Times New Roman" w:cs="Times New Roman"/>
            <w:sz w:val="24"/>
            <w:szCs w:val="24"/>
          </w:rPr>
          <w:t>http://www.comfsm.fm/irpo/</w:t>
        </w:r>
      </w:hyperlink>
      <w:r w:rsidRPr="005E3E57">
        <w:rPr>
          <w:rFonts w:ascii="Times New Roman" w:hAnsi="Times New Roman" w:cs="Times New Roman"/>
          <w:sz w:val="24"/>
          <w:szCs w:val="24"/>
        </w:rPr>
        <w:t xml:space="preserve">.  </w:t>
      </w:r>
    </w:p>
    <w:p w:rsidR="005E3E57" w:rsidRDefault="005E3E57" w:rsidP="005E3E57">
      <w:pPr>
        <w:pStyle w:val="NoSpacing"/>
        <w:rPr>
          <w:rFonts w:ascii="Times New Roman" w:hAnsi="Times New Roman" w:cs="Times New Roman"/>
          <w:sz w:val="24"/>
          <w:szCs w:val="24"/>
        </w:rPr>
      </w:pPr>
    </w:p>
    <w:p w:rsidR="005E3E57" w:rsidRPr="00CF4118" w:rsidRDefault="005E3E57" w:rsidP="005E3E57">
      <w:pPr>
        <w:pStyle w:val="NoSpacing"/>
        <w:rPr>
          <w:rFonts w:ascii="Times New Roman" w:hAnsi="Times New Roman" w:cs="Times New Roman"/>
          <w:b/>
          <w:sz w:val="24"/>
          <w:szCs w:val="24"/>
        </w:rPr>
      </w:pPr>
      <w:r w:rsidRPr="00CF4118">
        <w:rPr>
          <w:rFonts w:ascii="Times New Roman" w:hAnsi="Times New Roman" w:cs="Times New Roman"/>
          <w:b/>
          <w:sz w:val="24"/>
          <w:szCs w:val="24"/>
        </w:rPr>
        <w:t>Enrollment</w:t>
      </w:r>
      <w:r w:rsidR="00CF4118">
        <w:rPr>
          <w:rFonts w:ascii="Times New Roman" w:hAnsi="Times New Roman" w:cs="Times New Roman"/>
          <w:b/>
          <w:sz w:val="24"/>
          <w:szCs w:val="24"/>
        </w:rPr>
        <w:t xml:space="preserve"> &amp; Credits</w:t>
      </w:r>
    </w:p>
    <w:p w:rsidR="005E3E57" w:rsidRDefault="005E3E57" w:rsidP="005E3E57">
      <w:pPr>
        <w:pStyle w:val="NoSpacing"/>
        <w:rPr>
          <w:rFonts w:ascii="Times New Roman" w:hAnsi="Times New Roman" w:cs="Times New Roman"/>
          <w:sz w:val="24"/>
          <w:szCs w:val="24"/>
        </w:rPr>
      </w:pP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8"/>
        <w:gridCol w:w="4788"/>
      </w:tblGrid>
      <w:tr w:rsidR="005E3E57" w:rsidTr="009B4214">
        <w:tc>
          <w:tcPr>
            <w:tcW w:w="4788" w:type="dxa"/>
          </w:tcPr>
          <w:p w:rsidR="00CF4118" w:rsidRDefault="005E3E57" w:rsidP="00CF4118">
            <w:pPr>
              <w:pStyle w:val="NoSpacing"/>
              <w:keepNext/>
            </w:pPr>
            <w:r>
              <w:rPr>
                <w:rFonts w:ascii="Times New Roman" w:hAnsi="Times New Roman" w:cs="Times New Roman"/>
                <w:noProof/>
                <w:sz w:val="24"/>
                <w:szCs w:val="24"/>
              </w:rPr>
              <w:drawing>
                <wp:inline distT="0" distB="0" distL="0" distR="0">
                  <wp:extent cx="2926080" cy="1908048"/>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908048"/>
                          </a:xfrm>
                          <a:prstGeom prst="rect">
                            <a:avLst/>
                          </a:prstGeom>
                          <a:noFill/>
                        </pic:spPr>
                      </pic:pic>
                    </a:graphicData>
                  </a:graphic>
                </wp:inline>
              </w:drawing>
            </w:r>
          </w:p>
          <w:p w:rsidR="005E3E57" w:rsidRDefault="00CF4118" w:rsidP="00CF4118">
            <w:pPr>
              <w:pStyle w:val="Caption"/>
              <w:rPr>
                <w:rFonts w:ascii="Times New Roman" w:hAnsi="Times New Roman" w:cs="Times New Roman"/>
                <w:sz w:val="24"/>
                <w:szCs w:val="24"/>
              </w:rPr>
            </w:pPr>
            <w:r>
              <w:t xml:space="preserve">Figure </w:t>
            </w:r>
            <w:fldSimple w:instr=" SEQ Figure \* ARABIC ">
              <w:r w:rsidR="008B1A39">
                <w:rPr>
                  <w:noProof/>
                </w:rPr>
                <w:t>1</w:t>
              </w:r>
            </w:fldSimple>
            <w:r>
              <w:t xml:space="preserve"> Fall 2012 Enrollment by Campus</w:t>
            </w:r>
          </w:p>
        </w:tc>
        <w:tc>
          <w:tcPr>
            <w:tcW w:w="4788" w:type="dxa"/>
          </w:tcPr>
          <w:p w:rsidR="00CF4118" w:rsidRDefault="009B4214" w:rsidP="00CF4118">
            <w:pPr>
              <w:pStyle w:val="NoSpacing"/>
              <w:keepNext/>
            </w:pPr>
            <w:r>
              <w:rPr>
                <w:noProof/>
              </w:rPr>
              <w:drawing>
                <wp:inline distT="0" distB="0" distL="0" distR="0">
                  <wp:extent cx="2926080" cy="1911096"/>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911096"/>
                          </a:xfrm>
                          <a:prstGeom prst="rect">
                            <a:avLst/>
                          </a:prstGeom>
                          <a:noFill/>
                        </pic:spPr>
                      </pic:pic>
                    </a:graphicData>
                  </a:graphic>
                </wp:inline>
              </w:drawing>
            </w:r>
          </w:p>
          <w:p w:rsidR="005E3E57" w:rsidRDefault="005E3E57" w:rsidP="00CF4118">
            <w:pPr>
              <w:pStyle w:val="Caption"/>
              <w:rPr>
                <w:rFonts w:ascii="Times New Roman" w:hAnsi="Times New Roman" w:cs="Times New Roman"/>
                <w:sz w:val="24"/>
                <w:szCs w:val="24"/>
              </w:rPr>
            </w:pPr>
          </w:p>
        </w:tc>
      </w:tr>
    </w:tbl>
    <w:p w:rsidR="005E3E57" w:rsidRDefault="005E3E57" w:rsidP="005E3E57">
      <w:pPr>
        <w:pStyle w:val="NoSpacing"/>
        <w:rPr>
          <w:rFonts w:ascii="Times New Roman" w:hAnsi="Times New Roman" w:cs="Times New Roman"/>
          <w:sz w:val="24"/>
          <w:szCs w:val="24"/>
        </w:rPr>
      </w:pPr>
    </w:p>
    <w:p w:rsidR="00FD5E7F" w:rsidRDefault="00FD5E7F" w:rsidP="005E3E57">
      <w:pPr>
        <w:pStyle w:val="NoSpacing"/>
        <w:rPr>
          <w:rFonts w:ascii="Times New Roman" w:hAnsi="Times New Roman" w:cs="Times New Roman"/>
          <w:sz w:val="24"/>
          <w:szCs w:val="24"/>
        </w:rPr>
      </w:pPr>
      <w:r>
        <w:rPr>
          <w:rFonts w:ascii="Times New Roman" w:hAnsi="Times New Roman" w:cs="Times New Roman"/>
          <w:sz w:val="24"/>
          <w:szCs w:val="24"/>
        </w:rPr>
        <w:t xml:space="preserve">The total enrollment for fall semester </w:t>
      </w:r>
      <w:r w:rsidR="00447BC3">
        <w:rPr>
          <w:rFonts w:ascii="Times New Roman" w:hAnsi="Times New Roman" w:cs="Times New Roman"/>
          <w:sz w:val="24"/>
          <w:szCs w:val="24"/>
        </w:rPr>
        <w:t xml:space="preserve">2012 of 2744 represents a small decline (~1%) from fall semester 2011.  </w:t>
      </w:r>
      <w:r w:rsidR="008D082D">
        <w:rPr>
          <w:rFonts w:ascii="Times New Roman" w:hAnsi="Times New Roman" w:cs="Times New Roman"/>
          <w:sz w:val="24"/>
          <w:szCs w:val="24"/>
        </w:rPr>
        <w:t>Enrollment data by major is attached at the end of this report.</w:t>
      </w:r>
    </w:p>
    <w:p w:rsidR="00EF3043" w:rsidRDefault="00EF3043" w:rsidP="005E3E57">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4788"/>
        <w:gridCol w:w="4788"/>
      </w:tblGrid>
      <w:tr w:rsidR="00EF3043" w:rsidTr="005A1235">
        <w:tc>
          <w:tcPr>
            <w:tcW w:w="4788" w:type="dxa"/>
          </w:tcPr>
          <w:p w:rsidR="00EF3043" w:rsidRDefault="00EF3043" w:rsidP="005E3E57">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6080" cy="1691640"/>
                  <wp:effectExtent l="0" t="0" r="762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691640"/>
                          </a:xfrm>
                          <a:prstGeom prst="rect">
                            <a:avLst/>
                          </a:prstGeom>
                          <a:noFill/>
                        </pic:spPr>
                      </pic:pic>
                    </a:graphicData>
                  </a:graphic>
                </wp:inline>
              </w:drawing>
            </w:r>
          </w:p>
        </w:tc>
        <w:tc>
          <w:tcPr>
            <w:tcW w:w="4788" w:type="dxa"/>
          </w:tcPr>
          <w:p w:rsidR="00EF3043" w:rsidRDefault="00EF3043" w:rsidP="005E3E57">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6080" cy="1691640"/>
                  <wp:effectExtent l="0" t="0" r="762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691640"/>
                          </a:xfrm>
                          <a:prstGeom prst="rect">
                            <a:avLst/>
                          </a:prstGeom>
                          <a:noFill/>
                        </pic:spPr>
                      </pic:pic>
                    </a:graphicData>
                  </a:graphic>
                </wp:inline>
              </w:drawing>
            </w:r>
          </w:p>
        </w:tc>
      </w:tr>
    </w:tbl>
    <w:p w:rsidR="00165956" w:rsidRDefault="00165956" w:rsidP="005E3E57">
      <w:pPr>
        <w:pStyle w:val="NoSpacing"/>
        <w:rPr>
          <w:rFonts w:ascii="Times New Roman" w:hAnsi="Times New Roman" w:cs="Times New Roman"/>
          <w:sz w:val="24"/>
          <w:szCs w:val="24"/>
        </w:rPr>
      </w:pPr>
    </w:p>
    <w:p w:rsidR="00EF3043" w:rsidRDefault="00447BC3" w:rsidP="005E3E57">
      <w:pPr>
        <w:pStyle w:val="NoSpacing"/>
        <w:rPr>
          <w:rFonts w:ascii="Times New Roman" w:hAnsi="Times New Roman" w:cs="Times New Roman"/>
          <w:sz w:val="24"/>
          <w:szCs w:val="24"/>
        </w:rPr>
      </w:pPr>
      <w:r>
        <w:rPr>
          <w:rFonts w:ascii="Times New Roman" w:hAnsi="Times New Roman" w:cs="Times New Roman"/>
          <w:sz w:val="24"/>
          <w:szCs w:val="24"/>
        </w:rPr>
        <w:t>Females represent ~ 54% of the overall student population.  Kosrae is the only campus where the number of males is greater than the number of females.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4788"/>
        <w:gridCol w:w="4788"/>
      </w:tblGrid>
      <w:tr w:rsidR="00EF3043" w:rsidTr="005A1235">
        <w:tc>
          <w:tcPr>
            <w:tcW w:w="4788" w:type="dxa"/>
          </w:tcPr>
          <w:p w:rsidR="00EF3043" w:rsidRDefault="00EF3043" w:rsidP="005E3E57">
            <w:pPr>
              <w:pStyle w:val="NoSpacing"/>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926080" cy="1755648"/>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755648"/>
                          </a:xfrm>
                          <a:prstGeom prst="rect">
                            <a:avLst/>
                          </a:prstGeom>
                          <a:noFill/>
                        </pic:spPr>
                      </pic:pic>
                    </a:graphicData>
                  </a:graphic>
                </wp:inline>
              </w:drawing>
            </w:r>
          </w:p>
        </w:tc>
        <w:tc>
          <w:tcPr>
            <w:tcW w:w="4788" w:type="dxa"/>
          </w:tcPr>
          <w:p w:rsidR="00EF3043" w:rsidRDefault="00EF3043" w:rsidP="005E3E57">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6080" cy="1764792"/>
                  <wp:effectExtent l="0" t="0" r="762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764792"/>
                          </a:xfrm>
                          <a:prstGeom prst="rect">
                            <a:avLst/>
                          </a:prstGeom>
                          <a:noFill/>
                        </pic:spPr>
                      </pic:pic>
                    </a:graphicData>
                  </a:graphic>
                </wp:inline>
              </w:drawing>
            </w:r>
          </w:p>
        </w:tc>
      </w:tr>
    </w:tbl>
    <w:p w:rsidR="00EF3043" w:rsidRDefault="00EF3043" w:rsidP="005E3E57">
      <w:pPr>
        <w:pStyle w:val="NoSpacing"/>
        <w:rPr>
          <w:rFonts w:ascii="Times New Roman" w:hAnsi="Times New Roman" w:cs="Times New Roman"/>
          <w:sz w:val="24"/>
          <w:szCs w:val="24"/>
        </w:rPr>
      </w:pPr>
    </w:p>
    <w:p w:rsidR="00447BC3" w:rsidRDefault="00447BC3" w:rsidP="005E3E57">
      <w:pPr>
        <w:pStyle w:val="NoSpacing"/>
        <w:rPr>
          <w:rFonts w:ascii="Times New Roman" w:hAnsi="Times New Roman" w:cs="Times New Roman"/>
          <w:sz w:val="24"/>
          <w:szCs w:val="24"/>
        </w:rPr>
      </w:pPr>
      <w:r>
        <w:rPr>
          <w:rFonts w:ascii="Times New Roman" w:hAnsi="Times New Roman" w:cs="Times New Roman"/>
          <w:sz w:val="24"/>
          <w:szCs w:val="24"/>
        </w:rPr>
        <w:t xml:space="preserve">Overall, the trend contributes where Pohnpeians represent more than half of the oval student body of the college and 74% of the national campus population.  Chuukese enrollment both overall and at the national campus are significantly below their 47.4% share of the overall FSM population.  </w:t>
      </w:r>
    </w:p>
    <w:p w:rsidR="00447BC3" w:rsidRDefault="00447BC3" w:rsidP="005E3E57">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4788"/>
        <w:gridCol w:w="4788"/>
      </w:tblGrid>
      <w:tr w:rsidR="00165956" w:rsidTr="005A1235">
        <w:tc>
          <w:tcPr>
            <w:tcW w:w="4788" w:type="dxa"/>
          </w:tcPr>
          <w:p w:rsidR="00165956" w:rsidRDefault="00165956" w:rsidP="005E3E57">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6080" cy="1755648"/>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755648"/>
                          </a:xfrm>
                          <a:prstGeom prst="rect">
                            <a:avLst/>
                          </a:prstGeom>
                          <a:noFill/>
                        </pic:spPr>
                      </pic:pic>
                    </a:graphicData>
                  </a:graphic>
                </wp:inline>
              </w:drawing>
            </w:r>
          </w:p>
        </w:tc>
        <w:tc>
          <w:tcPr>
            <w:tcW w:w="4788" w:type="dxa"/>
          </w:tcPr>
          <w:p w:rsidR="00165956" w:rsidRDefault="00165956" w:rsidP="005E3E57">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6080" cy="1755648"/>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755648"/>
                          </a:xfrm>
                          <a:prstGeom prst="rect">
                            <a:avLst/>
                          </a:prstGeom>
                          <a:noFill/>
                        </pic:spPr>
                      </pic:pic>
                    </a:graphicData>
                  </a:graphic>
                </wp:inline>
              </w:drawing>
            </w:r>
          </w:p>
        </w:tc>
      </w:tr>
    </w:tbl>
    <w:p w:rsidR="00165956" w:rsidRDefault="00165956" w:rsidP="005E3E57">
      <w:pPr>
        <w:pStyle w:val="NoSpacing"/>
        <w:rPr>
          <w:rFonts w:ascii="Times New Roman" w:hAnsi="Times New Roman" w:cs="Times New Roman"/>
          <w:sz w:val="24"/>
          <w:szCs w:val="24"/>
        </w:rPr>
      </w:pPr>
    </w:p>
    <w:p w:rsidR="005E3E57" w:rsidRDefault="00447BC3" w:rsidP="005E3E57">
      <w:pPr>
        <w:pStyle w:val="NoSpacing"/>
        <w:rPr>
          <w:rFonts w:ascii="Times New Roman" w:hAnsi="Times New Roman" w:cs="Times New Roman"/>
          <w:sz w:val="24"/>
          <w:szCs w:val="24"/>
        </w:rPr>
      </w:pPr>
      <w:r>
        <w:rPr>
          <w:rFonts w:ascii="Times New Roman" w:hAnsi="Times New Roman" w:cs="Times New Roman"/>
          <w:sz w:val="24"/>
          <w:szCs w:val="24"/>
        </w:rPr>
        <w:t xml:space="preserve">Headcount versus Full Time Equivalent (FTE) information shows 2602 FTE students.  </w:t>
      </w:r>
      <w:r w:rsidR="00343900">
        <w:rPr>
          <w:rFonts w:ascii="Times New Roman" w:hAnsi="Times New Roman" w:cs="Times New Roman"/>
          <w:sz w:val="24"/>
          <w:szCs w:val="24"/>
        </w:rPr>
        <w:t xml:space="preserve">FTE (Total Credits/12) data is used to compare between different colleges and campuses.  </w:t>
      </w:r>
    </w:p>
    <w:p w:rsidR="00343900" w:rsidRDefault="00343900" w:rsidP="005E3E57">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4788"/>
        <w:gridCol w:w="4788"/>
      </w:tblGrid>
      <w:tr w:rsidR="00CF4118" w:rsidTr="009B4214">
        <w:tc>
          <w:tcPr>
            <w:tcW w:w="4788" w:type="dxa"/>
          </w:tcPr>
          <w:p w:rsidR="00CF4118" w:rsidRDefault="00165956" w:rsidP="00CF4118">
            <w:pPr>
              <w:pStyle w:val="Caption"/>
              <w:rPr>
                <w:rFonts w:ascii="Times New Roman" w:hAnsi="Times New Roman" w:cs="Times New Roman"/>
                <w:sz w:val="24"/>
                <w:szCs w:val="24"/>
              </w:rPr>
            </w:pPr>
            <w:r>
              <w:rPr>
                <w:noProof/>
              </w:rPr>
              <w:drawing>
                <wp:inline distT="0" distB="0" distL="0" distR="0">
                  <wp:extent cx="2926080" cy="1764792"/>
                  <wp:effectExtent l="0" t="0" r="762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764792"/>
                          </a:xfrm>
                          <a:prstGeom prst="rect">
                            <a:avLst/>
                          </a:prstGeom>
                          <a:noFill/>
                        </pic:spPr>
                      </pic:pic>
                    </a:graphicData>
                  </a:graphic>
                </wp:inline>
              </w:drawing>
            </w:r>
          </w:p>
        </w:tc>
        <w:tc>
          <w:tcPr>
            <w:tcW w:w="4788" w:type="dxa"/>
          </w:tcPr>
          <w:p w:rsidR="00CF4118" w:rsidRDefault="00165956" w:rsidP="00CF4118">
            <w:pPr>
              <w:pStyle w:val="NoSpacing"/>
              <w:keepNext/>
            </w:pPr>
            <w:r>
              <w:rPr>
                <w:rFonts w:ascii="Times New Roman" w:hAnsi="Times New Roman" w:cs="Times New Roman"/>
                <w:noProof/>
                <w:sz w:val="24"/>
                <w:szCs w:val="24"/>
              </w:rPr>
              <w:drawing>
                <wp:inline distT="0" distB="0" distL="0" distR="0">
                  <wp:extent cx="2926080" cy="1767840"/>
                  <wp:effectExtent l="0" t="0" r="7620" b="381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767840"/>
                          </a:xfrm>
                          <a:prstGeom prst="rect">
                            <a:avLst/>
                          </a:prstGeom>
                          <a:noFill/>
                        </pic:spPr>
                      </pic:pic>
                    </a:graphicData>
                  </a:graphic>
                </wp:inline>
              </w:drawing>
            </w:r>
          </w:p>
          <w:p w:rsidR="00CF4118" w:rsidRDefault="00CF4118" w:rsidP="00CF4118">
            <w:pPr>
              <w:pStyle w:val="Caption"/>
              <w:rPr>
                <w:rFonts w:ascii="Times New Roman" w:hAnsi="Times New Roman" w:cs="Times New Roman"/>
                <w:sz w:val="24"/>
                <w:szCs w:val="24"/>
              </w:rPr>
            </w:pPr>
          </w:p>
        </w:tc>
      </w:tr>
    </w:tbl>
    <w:p w:rsidR="005E3E57" w:rsidRDefault="005E3E57" w:rsidP="005E3E57">
      <w:pPr>
        <w:pStyle w:val="NoSpacing"/>
        <w:rPr>
          <w:rFonts w:ascii="Times New Roman" w:hAnsi="Times New Roman" w:cs="Times New Roman"/>
          <w:sz w:val="24"/>
          <w:szCs w:val="24"/>
        </w:rPr>
      </w:pPr>
    </w:p>
    <w:p w:rsidR="00343900" w:rsidRDefault="00343900" w:rsidP="005E3E57">
      <w:pPr>
        <w:pStyle w:val="NoSpacing"/>
        <w:rPr>
          <w:rFonts w:ascii="Times New Roman" w:hAnsi="Times New Roman" w:cs="Times New Roman"/>
          <w:sz w:val="24"/>
          <w:szCs w:val="24"/>
        </w:rPr>
      </w:pPr>
      <w:r>
        <w:rPr>
          <w:rFonts w:ascii="Times New Roman" w:hAnsi="Times New Roman" w:cs="Times New Roman"/>
          <w:sz w:val="24"/>
          <w:szCs w:val="24"/>
        </w:rPr>
        <w:t xml:space="preserve">Students enrolled for total of 31,227.5 credits at the beginning of the semester and the distribution of credits is also provided.  Additional information is provided below regarding the number of credits actually earned for the semester. </w:t>
      </w:r>
    </w:p>
    <w:p w:rsidR="00343900" w:rsidRDefault="00343900" w:rsidP="005E3E57">
      <w:pPr>
        <w:pStyle w:val="NoSpacing"/>
        <w:rPr>
          <w:rFonts w:ascii="Times New Roman" w:hAnsi="Times New Roman" w:cs="Times New Roman"/>
          <w:sz w:val="24"/>
          <w:szCs w:val="24"/>
        </w:rPr>
      </w:pPr>
    </w:p>
    <w:p w:rsidR="00EF3043" w:rsidRPr="00123D3B" w:rsidRDefault="00123D3B" w:rsidP="005E3E57">
      <w:pPr>
        <w:pStyle w:val="NoSpacing"/>
        <w:rPr>
          <w:rFonts w:ascii="Times New Roman" w:hAnsi="Times New Roman" w:cs="Times New Roman"/>
          <w:b/>
          <w:sz w:val="24"/>
          <w:szCs w:val="24"/>
        </w:rPr>
      </w:pPr>
      <w:r w:rsidRPr="00123D3B">
        <w:rPr>
          <w:rFonts w:ascii="Times New Roman" w:hAnsi="Times New Roman" w:cs="Times New Roman"/>
          <w:b/>
          <w:sz w:val="24"/>
          <w:szCs w:val="24"/>
        </w:rPr>
        <w:lastRenderedPageBreak/>
        <w:t>Age of Students</w:t>
      </w:r>
    </w:p>
    <w:p w:rsidR="00123D3B" w:rsidRDefault="00123D3B" w:rsidP="005E3E57">
      <w:pPr>
        <w:pStyle w:val="NoSpacing"/>
        <w:rPr>
          <w:rFonts w:ascii="Times New Roman" w:hAnsi="Times New Roman" w:cs="Times New Roman"/>
          <w:sz w:val="24"/>
          <w:szCs w:val="24"/>
        </w:rPr>
      </w:pPr>
    </w:p>
    <w:p w:rsidR="00123D3B" w:rsidRDefault="00123D3B" w:rsidP="005E3E57">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6505"/>
        <w:gridCol w:w="3071"/>
      </w:tblGrid>
      <w:tr w:rsidR="00123D3B" w:rsidTr="005A1235">
        <w:tc>
          <w:tcPr>
            <w:tcW w:w="6505" w:type="dxa"/>
          </w:tcPr>
          <w:p w:rsidR="00123D3B" w:rsidRDefault="00123D3B" w:rsidP="005E3E57">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42944" cy="338034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7266" cy="3384249"/>
                          </a:xfrm>
                          <a:prstGeom prst="rect">
                            <a:avLst/>
                          </a:prstGeom>
                          <a:noFill/>
                        </pic:spPr>
                      </pic:pic>
                    </a:graphicData>
                  </a:graphic>
                </wp:inline>
              </w:drawing>
            </w:r>
          </w:p>
        </w:tc>
        <w:tc>
          <w:tcPr>
            <w:tcW w:w="3071" w:type="dxa"/>
          </w:tcPr>
          <w:p w:rsidR="00123D3B" w:rsidRDefault="00123D3B" w:rsidP="005E3E57">
            <w:pPr>
              <w:pStyle w:val="NoSpacing"/>
              <w:rPr>
                <w:rFonts w:ascii="Times New Roman" w:hAnsi="Times New Roman" w:cs="Times New Roman"/>
                <w:sz w:val="24"/>
                <w:szCs w:val="24"/>
              </w:rPr>
            </w:pPr>
            <w:r w:rsidRPr="000E682B">
              <w:rPr>
                <w:rFonts w:ascii="Times New Roman" w:eastAsiaTheme="minorEastAsia" w:hAnsi="Times New Roman" w:cs="Times New Roman"/>
                <w:sz w:val="24"/>
                <w:szCs w:val="24"/>
              </w:rPr>
              <w:object w:dxaOrig="2022" w:dyaOrig="5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pt;height:263.5pt" o:ole="">
                  <v:imagedata r:id="rId21" o:title=""/>
                </v:shape>
                <o:OLEObject Type="Embed" ProgID="Excel.Sheet.12" ShapeID="_x0000_i1025" DrawAspect="Content" ObjectID="_1419926877" r:id="rId22"/>
              </w:object>
            </w:r>
          </w:p>
        </w:tc>
      </w:tr>
    </w:tbl>
    <w:p w:rsidR="00123D3B" w:rsidRDefault="00123D3B" w:rsidP="005E3E57">
      <w:pPr>
        <w:pStyle w:val="NoSpacing"/>
        <w:rPr>
          <w:rFonts w:ascii="Times New Roman" w:hAnsi="Times New Roman" w:cs="Times New Roman"/>
          <w:sz w:val="24"/>
          <w:szCs w:val="24"/>
        </w:rPr>
      </w:pPr>
    </w:p>
    <w:p w:rsidR="00123D3B" w:rsidRDefault="00343900" w:rsidP="005E3E57">
      <w:pPr>
        <w:pStyle w:val="NoSpacing"/>
        <w:rPr>
          <w:rFonts w:ascii="Times New Roman" w:hAnsi="Times New Roman" w:cs="Times New Roman"/>
          <w:sz w:val="24"/>
          <w:szCs w:val="24"/>
        </w:rPr>
      </w:pPr>
      <w:r>
        <w:rPr>
          <w:rFonts w:ascii="Times New Roman" w:hAnsi="Times New Roman" w:cs="Times New Roman"/>
          <w:sz w:val="24"/>
          <w:szCs w:val="24"/>
        </w:rPr>
        <w:t xml:space="preserve">While there have been some attempts to recruit older and </w:t>
      </w:r>
      <w:r w:rsidR="008C2BDC">
        <w:rPr>
          <w:rFonts w:ascii="Times New Roman" w:hAnsi="Times New Roman" w:cs="Times New Roman"/>
          <w:sz w:val="24"/>
          <w:szCs w:val="24"/>
        </w:rPr>
        <w:t>nontraditional</w:t>
      </w:r>
      <w:r>
        <w:rPr>
          <w:rFonts w:ascii="Times New Roman" w:hAnsi="Times New Roman" w:cs="Times New Roman"/>
          <w:sz w:val="24"/>
          <w:szCs w:val="24"/>
        </w:rPr>
        <w:t xml:space="preserve"> students, students are the college are primarily grouped in the 18 to 25 age frame</w:t>
      </w:r>
      <w:r w:rsidR="008C2BDC">
        <w:rPr>
          <w:rFonts w:ascii="Times New Roman" w:hAnsi="Times New Roman" w:cs="Times New Roman"/>
          <w:sz w:val="24"/>
          <w:szCs w:val="24"/>
        </w:rPr>
        <w:t xml:space="preserve"> following </w:t>
      </w:r>
    </w:p>
    <w:p w:rsidR="00EF3043" w:rsidRDefault="00EF3043" w:rsidP="005E3E57">
      <w:pPr>
        <w:pStyle w:val="NoSpacing"/>
        <w:rPr>
          <w:rFonts w:ascii="Times New Roman" w:hAnsi="Times New Roman" w:cs="Times New Roman"/>
          <w:sz w:val="24"/>
          <w:szCs w:val="24"/>
        </w:rPr>
      </w:pPr>
    </w:p>
    <w:p w:rsidR="00165956" w:rsidRPr="00B73B3D" w:rsidRDefault="00B73B3D" w:rsidP="005E3E57">
      <w:pPr>
        <w:pStyle w:val="NoSpacing"/>
        <w:rPr>
          <w:rFonts w:ascii="Times New Roman" w:hAnsi="Times New Roman" w:cs="Times New Roman"/>
          <w:b/>
          <w:sz w:val="24"/>
          <w:szCs w:val="24"/>
        </w:rPr>
      </w:pPr>
      <w:r w:rsidRPr="00B73B3D">
        <w:rPr>
          <w:rFonts w:ascii="Times New Roman" w:hAnsi="Times New Roman" w:cs="Times New Roman"/>
          <w:b/>
          <w:sz w:val="24"/>
          <w:szCs w:val="24"/>
        </w:rPr>
        <w:t>Retention Rate</w:t>
      </w:r>
    </w:p>
    <w:p w:rsidR="00B73B3D" w:rsidRDefault="00B73B3D" w:rsidP="005E3E57">
      <w:pPr>
        <w:pStyle w:val="NoSpacing"/>
        <w:rPr>
          <w:rFonts w:ascii="Times New Roman" w:hAnsi="Times New Roman" w:cs="Times New Roman"/>
          <w:sz w:val="24"/>
          <w:szCs w:val="24"/>
        </w:rPr>
      </w:pPr>
    </w:p>
    <w:p w:rsidR="00B73B3D" w:rsidRDefault="00B73B3D" w:rsidP="005E3E57">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4788"/>
        <w:gridCol w:w="4788"/>
      </w:tblGrid>
      <w:tr w:rsidR="00B73B3D" w:rsidTr="005A1235">
        <w:tc>
          <w:tcPr>
            <w:tcW w:w="4788" w:type="dxa"/>
          </w:tcPr>
          <w:p w:rsidR="00B73B3D" w:rsidRDefault="00B73B3D" w:rsidP="005E3E57">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6080" cy="175564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755648"/>
                          </a:xfrm>
                          <a:prstGeom prst="rect">
                            <a:avLst/>
                          </a:prstGeom>
                          <a:noFill/>
                        </pic:spPr>
                      </pic:pic>
                    </a:graphicData>
                  </a:graphic>
                </wp:inline>
              </w:drawing>
            </w:r>
          </w:p>
        </w:tc>
        <w:tc>
          <w:tcPr>
            <w:tcW w:w="4788" w:type="dxa"/>
          </w:tcPr>
          <w:p w:rsidR="00B73B3D" w:rsidRDefault="00B73B3D" w:rsidP="005E3E57">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6080" cy="1764792"/>
                  <wp:effectExtent l="0" t="0" r="762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764792"/>
                          </a:xfrm>
                          <a:prstGeom prst="rect">
                            <a:avLst/>
                          </a:prstGeom>
                          <a:noFill/>
                        </pic:spPr>
                      </pic:pic>
                    </a:graphicData>
                  </a:graphic>
                </wp:inline>
              </w:drawing>
            </w:r>
          </w:p>
        </w:tc>
      </w:tr>
    </w:tbl>
    <w:p w:rsidR="00B73B3D" w:rsidRDefault="00B73B3D" w:rsidP="005E3E57">
      <w:pPr>
        <w:pStyle w:val="NoSpacing"/>
        <w:rPr>
          <w:rFonts w:ascii="Times New Roman" w:hAnsi="Times New Roman" w:cs="Times New Roman"/>
          <w:sz w:val="24"/>
          <w:szCs w:val="24"/>
        </w:rPr>
      </w:pPr>
    </w:p>
    <w:p w:rsidR="00055A15" w:rsidRDefault="0030450E" w:rsidP="005E3E57">
      <w:pPr>
        <w:pStyle w:val="NoSpacing"/>
        <w:rPr>
          <w:rFonts w:ascii="Times New Roman" w:hAnsi="Times New Roman" w:cs="Times New Roman"/>
          <w:sz w:val="24"/>
          <w:szCs w:val="24"/>
        </w:rPr>
      </w:pPr>
      <w:r>
        <w:rPr>
          <w:rFonts w:ascii="Times New Roman" w:hAnsi="Times New Roman" w:cs="Times New Roman"/>
          <w:sz w:val="24"/>
          <w:szCs w:val="24"/>
        </w:rPr>
        <w:t xml:space="preserve">A decline of ~ 10% was seen in the retention rate of students from the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2010 to Fall 2011 cohort to the Fall 2011 to Fall 2012.  Retention rates are calculated by the number of new students in fall semester returning the next fall semester. </w:t>
      </w:r>
    </w:p>
    <w:p w:rsidR="0030450E" w:rsidRDefault="0030450E" w:rsidP="005E3E57">
      <w:pPr>
        <w:pStyle w:val="NoSpacing"/>
        <w:rPr>
          <w:rFonts w:ascii="Times New Roman" w:hAnsi="Times New Roman" w:cs="Times New Roman"/>
          <w:sz w:val="24"/>
          <w:szCs w:val="24"/>
        </w:rPr>
      </w:pPr>
    </w:p>
    <w:p w:rsidR="008B1A39" w:rsidRDefault="008B1A39" w:rsidP="005E3E57">
      <w:pPr>
        <w:pStyle w:val="NoSpacing"/>
        <w:rPr>
          <w:rFonts w:ascii="Times New Roman" w:hAnsi="Times New Roman" w:cs="Times New Roman"/>
          <w:b/>
          <w:sz w:val="24"/>
          <w:szCs w:val="24"/>
        </w:rPr>
      </w:pPr>
    </w:p>
    <w:p w:rsidR="008B1A39" w:rsidRDefault="008B1A39" w:rsidP="005E3E57">
      <w:pPr>
        <w:pStyle w:val="NoSpacing"/>
        <w:rPr>
          <w:rFonts w:ascii="Times New Roman" w:hAnsi="Times New Roman" w:cs="Times New Roman"/>
          <w:b/>
          <w:sz w:val="24"/>
          <w:szCs w:val="24"/>
        </w:rPr>
      </w:pPr>
    </w:p>
    <w:p w:rsidR="008B1A39" w:rsidRPr="00123D3B" w:rsidRDefault="008B1A39" w:rsidP="008B1A39">
      <w:pPr>
        <w:pStyle w:val="NoSpacing"/>
        <w:rPr>
          <w:rFonts w:ascii="Times New Roman" w:hAnsi="Times New Roman" w:cs="Times New Roman"/>
          <w:b/>
          <w:sz w:val="24"/>
          <w:szCs w:val="24"/>
        </w:rPr>
      </w:pPr>
      <w:r w:rsidRPr="00123D3B">
        <w:rPr>
          <w:rFonts w:ascii="Times New Roman" w:hAnsi="Times New Roman" w:cs="Times New Roman"/>
          <w:b/>
          <w:sz w:val="24"/>
          <w:szCs w:val="24"/>
        </w:rPr>
        <w:lastRenderedPageBreak/>
        <w:t>Full Time Students (12 or more credits at registration)</w:t>
      </w:r>
      <w:r>
        <w:rPr>
          <w:rFonts w:ascii="Times New Roman" w:hAnsi="Times New Roman" w:cs="Times New Roman"/>
          <w:b/>
          <w:sz w:val="24"/>
          <w:szCs w:val="24"/>
        </w:rPr>
        <w:t xml:space="preserve"> &amp; Students Earning 12 or more Credits</w:t>
      </w:r>
    </w:p>
    <w:p w:rsidR="008B1A39" w:rsidRDefault="008B1A39" w:rsidP="008B1A39">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4788"/>
        <w:gridCol w:w="4788"/>
      </w:tblGrid>
      <w:tr w:rsidR="008B1A39" w:rsidTr="005A1235">
        <w:tc>
          <w:tcPr>
            <w:tcW w:w="4788" w:type="dxa"/>
          </w:tcPr>
          <w:p w:rsidR="008B1A39" w:rsidRDefault="008B1A39" w:rsidP="00B73A5E">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6080" cy="1764792"/>
                  <wp:effectExtent l="0" t="0" r="762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764792"/>
                          </a:xfrm>
                          <a:prstGeom prst="rect">
                            <a:avLst/>
                          </a:prstGeom>
                          <a:noFill/>
                        </pic:spPr>
                      </pic:pic>
                    </a:graphicData>
                  </a:graphic>
                </wp:inline>
              </w:drawing>
            </w:r>
          </w:p>
        </w:tc>
        <w:tc>
          <w:tcPr>
            <w:tcW w:w="4788" w:type="dxa"/>
          </w:tcPr>
          <w:p w:rsidR="008B1A39" w:rsidRDefault="008B1A39" w:rsidP="00B73A5E">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6080" cy="1764792"/>
                  <wp:effectExtent l="0" t="0" r="762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764792"/>
                          </a:xfrm>
                          <a:prstGeom prst="rect">
                            <a:avLst/>
                          </a:prstGeom>
                          <a:noFill/>
                        </pic:spPr>
                      </pic:pic>
                    </a:graphicData>
                  </a:graphic>
                </wp:inline>
              </w:drawing>
            </w:r>
          </w:p>
        </w:tc>
      </w:tr>
      <w:tr w:rsidR="008B1A39" w:rsidTr="005A1235">
        <w:tc>
          <w:tcPr>
            <w:tcW w:w="9576" w:type="dxa"/>
            <w:gridSpan w:val="2"/>
          </w:tcPr>
          <w:p w:rsidR="008B1A39" w:rsidRDefault="008B1A39" w:rsidP="00B73A5E">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2926080" cy="1755648"/>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755648"/>
                          </a:xfrm>
                          <a:prstGeom prst="rect">
                            <a:avLst/>
                          </a:prstGeom>
                          <a:noFill/>
                        </pic:spPr>
                      </pic:pic>
                    </a:graphicData>
                  </a:graphic>
                </wp:inline>
              </w:drawing>
            </w:r>
          </w:p>
        </w:tc>
      </w:tr>
    </w:tbl>
    <w:p w:rsidR="008B1A39" w:rsidRDefault="008B1A39" w:rsidP="008B1A39">
      <w:pPr>
        <w:pStyle w:val="NoSpacing"/>
        <w:rPr>
          <w:rFonts w:ascii="Times New Roman" w:hAnsi="Times New Roman" w:cs="Times New Roman"/>
          <w:b/>
          <w:sz w:val="24"/>
          <w:szCs w:val="24"/>
        </w:rPr>
      </w:pPr>
    </w:p>
    <w:p w:rsidR="008B1A39" w:rsidRPr="008C2BDC" w:rsidRDefault="008B1A39" w:rsidP="008B1A39">
      <w:pPr>
        <w:pStyle w:val="NoSpacing"/>
        <w:rPr>
          <w:rFonts w:ascii="Times New Roman" w:hAnsi="Times New Roman" w:cs="Times New Roman"/>
          <w:sz w:val="24"/>
          <w:szCs w:val="24"/>
        </w:rPr>
      </w:pPr>
      <w:r>
        <w:rPr>
          <w:rFonts w:ascii="Times New Roman" w:hAnsi="Times New Roman" w:cs="Times New Roman"/>
          <w:sz w:val="24"/>
          <w:szCs w:val="24"/>
        </w:rPr>
        <w:t xml:space="preserve">Detail is provided for students enrolled in 12 or more credits at the beginning of the semester and also for percent of students earning 12 or more credits.  Overall, ~ 65% of students enrolled for 12 or more credits, but only ~ 39% of students earned 12 or more credits.  Students earning less than 12 credits per semester are unlikely to graduate in a timely manner.  </w:t>
      </w:r>
    </w:p>
    <w:p w:rsidR="008B1A39" w:rsidRDefault="008B1A39" w:rsidP="005E3E57">
      <w:pPr>
        <w:pStyle w:val="NoSpacing"/>
        <w:rPr>
          <w:rFonts w:ascii="Times New Roman" w:hAnsi="Times New Roman" w:cs="Times New Roman"/>
          <w:b/>
          <w:sz w:val="24"/>
          <w:szCs w:val="24"/>
        </w:rPr>
      </w:pPr>
    </w:p>
    <w:p w:rsidR="00165956" w:rsidRPr="00B424F5" w:rsidRDefault="00B424F5" w:rsidP="005E3E57">
      <w:pPr>
        <w:pStyle w:val="NoSpacing"/>
        <w:rPr>
          <w:rFonts w:ascii="Times New Roman" w:hAnsi="Times New Roman" w:cs="Times New Roman"/>
          <w:b/>
          <w:sz w:val="24"/>
          <w:szCs w:val="24"/>
        </w:rPr>
      </w:pPr>
      <w:r w:rsidRPr="00B424F5">
        <w:rPr>
          <w:rFonts w:ascii="Times New Roman" w:hAnsi="Times New Roman" w:cs="Times New Roman"/>
          <w:b/>
          <w:sz w:val="24"/>
          <w:szCs w:val="24"/>
        </w:rPr>
        <w:t>Academic Standing</w:t>
      </w:r>
    </w:p>
    <w:p w:rsidR="00B424F5" w:rsidRDefault="00B424F5" w:rsidP="005E3E57">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B424F5" w:rsidTr="005A1235">
        <w:tc>
          <w:tcPr>
            <w:tcW w:w="4788" w:type="dxa"/>
          </w:tcPr>
          <w:p w:rsidR="00B424F5" w:rsidRDefault="00B424F5" w:rsidP="005E3E57">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6080" cy="1755648"/>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755648"/>
                          </a:xfrm>
                          <a:prstGeom prst="rect">
                            <a:avLst/>
                          </a:prstGeom>
                          <a:noFill/>
                        </pic:spPr>
                      </pic:pic>
                    </a:graphicData>
                  </a:graphic>
                </wp:inline>
              </w:drawing>
            </w:r>
          </w:p>
        </w:tc>
        <w:tc>
          <w:tcPr>
            <w:tcW w:w="4788" w:type="dxa"/>
          </w:tcPr>
          <w:p w:rsidR="00B424F5" w:rsidRDefault="00B424F5" w:rsidP="005E3E57">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6080" cy="1764792"/>
                  <wp:effectExtent l="0" t="0" r="762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764792"/>
                          </a:xfrm>
                          <a:prstGeom prst="rect">
                            <a:avLst/>
                          </a:prstGeom>
                          <a:noFill/>
                        </pic:spPr>
                      </pic:pic>
                    </a:graphicData>
                  </a:graphic>
                </wp:inline>
              </w:drawing>
            </w:r>
          </w:p>
        </w:tc>
      </w:tr>
    </w:tbl>
    <w:p w:rsidR="00B424F5" w:rsidRDefault="0030450E" w:rsidP="005E3E57">
      <w:pPr>
        <w:pStyle w:val="NoSpacing"/>
        <w:rPr>
          <w:rFonts w:ascii="Times New Roman" w:hAnsi="Times New Roman" w:cs="Times New Roman"/>
          <w:sz w:val="24"/>
          <w:szCs w:val="24"/>
        </w:rPr>
      </w:pPr>
      <w:r>
        <w:rPr>
          <w:rFonts w:ascii="Times New Roman" w:hAnsi="Times New Roman" w:cs="Times New Roman"/>
          <w:sz w:val="24"/>
          <w:szCs w:val="24"/>
        </w:rPr>
        <w:t xml:space="preserve">Overall 79% of students were in good academic standing (GPA of 2.00 or greater) for fall semester.  However, new </w:t>
      </w:r>
      <w:r w:rsidR="004721AE">
        <w:rPr>
          <w:rFonts w:ascii="Times New Roman" w:hAnsi="Times New Roman" w:cs="Times New Roman"/>
          <w:sz w:val="24"/>
          <w:szCs w:val="24"/>
        </w:rPr>
        <w:t>student’s</w:t>
      </w:r>
      <w:r>
        <w:rPr>
          <w:rFonts w:ascii="Times New Roman" w:hAnsi="Times New Roman" w:cs="Times New Roman"/>
          <w:sz w:val="24"/>
          <w:szCs w:val="24"/>
        </w:rPr>
        <w:t xml:space="preserve"> good academic standing was at 62% following a pattern where ~ 40% of new students are on academic probation after their first semester.  </w:t>
      </w:r>
    </w:p>
    <w:p w:rsidR="00B424F5" w:rsidRDefault="00B424F5" w:rsidP="005E3E57">
      <w:pPr>
        <w:pStyle w:val="NoSpacing"/>
        <w:rPr>
          <w:rFonts w:ascii="Times New Roman" w:hAnsi="Times New Roman" w:cs="Times New Roman"/>
          <w:sz w:val="24"/>
          <w:szCs w:val="24"/>
        </w:rPr>
      </w:pPr>
    </w:p>
    <w:p w:rsidR="005A1235" w:rsidRDefault="005A1235" w:rsidP="005E3E57">
      <w:pPr>
        <w:pStyle w:val="NoSpacing"/>
        <w:rPr>
          <w:rFonts w:ascii="Times New Roman" w:hAnsi="Times New Roman" w:cs="Times New Roman"/>
          <w:b/>
          <w:sz w:val="24"/>
          <w:szCs w:val="24"/>
        </w:rPr>
      </w:pPr>
    </w:p>
    <w:p w:rsidR="00B424F5" w:rsidRPr="00B424F5" w:rsidRDefault="00B424F5" w:rsidP="005E3E57">
      <w:pPr>
        <w:pStyle w:val="NoSpacing"/>
        <w:rPr>
          <w:rFonts w:ascii="Times New Roman" w:hAnsi="Times New Roman" w:cs="Times New Roman"/>
          <w:b/>
          <w:sz w:val="24"/>
          <w:szCs w:val="24"/>
        </w:rPr>
      </w:pPr>
      <w:r w:rsidRPr="00B424F5">
        <w:rPr>
          <w:rFonts w:ascii="Times New Roman" w:hAnsi="Times New Roman" w:cs="Times New Roman"/>
          <w:b/>
          <w:sz w:val="24"/>
          <w:szCs w:val="24"/>
        </w:rPr>
        <w:lastRenderedPageBreak/>
        <w:t>Grade Point Average (GPA)</w:t>
      </w:r>
    </w:p>
    <w:p w:rsidR="00B424F5" w:rsidRDefault="00B424F5" w:rsidP="005E3E57">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23D3B" w:rsidTr="005A1235">
        <w:tc>
          <w:tcPr>
            <w:tcW w:w="4788" w:type="dxa"/>
          </w:tcPr>
          <w:p w:rsidR="00123D3B" w:rsidRDefault="00123D3B" w:rsidP="005E3E57">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6080" cy="1837944"/>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837944"/>
                          </a:xfrm>
                          <a:prstGeom prst="rect">
                            <a:avLst/>
                          </a:prstGeom>
                          <a:noFill/>
                          <a:ln>
                            <a:noFill/>
                          </a:ln>
                        </pic:spPr>
                      </pic:pic>
                    </a:graphicData>
                  </a:graphic>
                </wp:inline>
              </w:drawing>
            </w:r>
          </w:p>
        </w:tc>
        <w:tc>
          <w:tcPr>
            <w:tcW w:w="4788" w:type="dxa"/>
          </w:tcPr>
          <w:p w:rsidR="00123D3B" w:rsidRDefault="00123D3B" w:rsidP="005E3E57">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6080" cy="1837944"/>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837944"/>
                          </a:xfrm>
                          <a:prstGeom prst="rect">
                            <a:avLst/>
                          </a:prstGeom>
                          <a:noFill/>
                          <a:ln>
                            <a:noFill/>
                          </a:ln>
                        </pic:spPr>
                      </pic:pic>
                    </a:graphicData>
                  </a:graphic>
                </wp:inline>
              </w:drawing>
            </w:r>
          </w:p>
        </w:tc>
      </w:tr>
    </w:tbl>
    <w:p w:rsidR="00165956" w:rsidRDefault="00165956" w:rsidP="005E3E57">
      <w:pPr>
        <w:pStyle w:val="NoSpacing"/>
        <w:rPr>
          <w:rFonts w:ascii="Times New Roman" w:hAnsi="Times New Roman" w:cs="Times New Roman"/>
          <w:sz w:val="24"/>
          <w:szCs w:val="24"/>
        </w:rPr>
      </w:pPr>
    </w:p>
    <w:p w:rsidR="00CF4118" w:rsidRDefault="0030450E" w:rsidP="005E3E57">
      <w:pPr>
        <w:pStyle w:val="NoSpacing"/>
        <w:rPr>
          <w:rFonts w:ascii="Times New Roman" w:hAnsi="Times New Roman" w:cs="Times New Roman"/>
          <w:sz w:val="24"/>
          <w:szCs w:val="24"/>
        </w:rPr>
      </w:pPr>
      <w:r>
        <w:rPr>
          <w:rFonts w:ascii="Times New Roman" w:hAnsi="Times New Roman" w:cs="Times New Roman"/>
          <w:sz w:val="24"/>
          <w:szCs w:val="24"/>
        </w:rPr>
        <w:t xml:space="preserve">Grade Point Averages (GPA) show two extremes.  250 students had 0.00 GPA while, </w:t>
      </w:r>
      <w:r w:rsidR="00F213C2">
        <w:rPr>
          <w:rFonts w:ascii="Times New Roman" w:hAnsi="Times New Roman" w:cs="Times New Roman"/>
          <w:sz w:val="24"/>
          <w:szCs w:val="24"/>
        </w:rPr>
        <w:t xml:space="preserve">268 students had a GPA of 3.75 or better.  </w:t>
      </w:r>
    </w:p>
    <w:p w:rsidR="00F213C2" w:rsidRDefault="00F213C2" w:rsidP="005E3E57">
      <w:pPr>
        <w:pStyle w:val="NoSpacing"/>
        <w:rPr>
          <w:rFonts w:ascii="Times New Roman" w:hAnsi="Times New Roman" w:cs="Times New Roman"/>
          <w:sz w:val="24"/>
          <w:szCs w:val="24"/>
        </w:rPr>
      </w:pPr>
    </w:p>
    <w:p w:rsidR="00CF4118" w:rsidRPr="006F62E1" w:rsidRDefault="006F62E1" w:rsidP="005E3E57">
      <w:pPr>
        <w:pStyle w:val="NoSpacing"/>
        <w:rPr>
          <w:rFonts w:ascii="Times New Roman" w:hAnsi="Times New Roman" w:cs="Times New Roman"/>
          <w:b/>
          <w:sz w:val="24"/>
          <w:szCs w:val="24"/>
        </w:rPr>
      </w:pPr>
      <w:r w:rsidRPr="006F62E1">
        <w:rPr>
          <w:rFonts w:ascii="Times New Roman" w:hAnsi="Times New Roman" w:cs="Times New Roman"/>
          <w:b/>
          <w:sz w:val="24"/>
          <w:szCs w:val="24"/>
        </w:rPr>
        <w:t>Course Completion Rates</w:t>
      </w:r>
      <w:r w:rsidR="00EA402C">
        <w:rPr>
          <w:rFonts w:ascii="Times New Roman" w:hAnsi="Times New Roman" w:cs="Times New Roman"/>
          <w:b/>
          <w:sz w:val="24"/>
          <w:szCs w:val="24"/>
        </w:rPr>
        <w:t xml:space="preserve"> &amp; Grade Distribution</w:t>
      </w:r>
    </w:p>
    <w:p w:rsidR="00EA402C" w:rsidRDefault="00EA402C" w:rsidP="005E3E57">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A402C" w:rsidTr="005A1235">
        <w:tc>
          <w:tcPr>
            <w:tcW w:w="4788" w:type="dxa"/>
          </w:tcPr>
          <w:p w:rsidR="00EA402C" w:rsidRDefault="00EA402C" w:rsidP="005E3E57">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6080" cy="1755648"/>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755648"/>
                          </a:xfrm>
                          <a:prstGeom prst="rect">
                            <a:avLst/>
                          </a:prstGeom>
                          <a:noFill/>
                        </pic:spPr>
                      </pic:pic>
                    </a:graphicData>
                  </a:graphic>
                </wp:inline>
              </w:drawing>
            </w:r>
          </w:p>
        </w:tc>
        <w:tc>
          <w:tcPr>
            <w:tcW w:w="4788" w:type="dxa"/>
          </w:tcPr>
          <w:p w:rsidR="00EA402C" w:rsidRDefault="00595DFA" w:rsidP="005E3E57">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6080" cy="1755648"/>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755648"/>
                          </a:xfrm>
                          <a:prstGeom prst="rect">
                            <a:avLst/>
                          </a:prstGeom>
                          <a:noFill/>
                        </pic:spPr>
                      </pic:pic>
                    </a:graphicData>
                  </a:graphic>
                </wp:inline>
              </w:drawing>
            </w:r>
          </w:p>
        </w:tc>
      </w:tr>
    </w:tbl>
    <w:p w:rsidR="00EA402C" w:rsidRDefault="00EA402C" w:rsidP="005E3E57">
      <w:pPr>
        <w:pStyle w:val="NoSpacing"/>
        <w:rPr>
          <w:rFonts w:ascii="Times New Roman" w:hAnsi="Times New Roman" w:cs="Times New Roman"/>
          <w:sz w:val="24"/>
          <w:szCs w:val="24"/>
        </w:rPr>
      </w:pPr>
    </w:p>
    <w:p w:rsidR="004721AE" w:rsidRDefault="004721AE" w:rsidP="005E3E57">
      <w:pPr>
        <w:pStyle w:val="NoSpacing"/>
        <w:rPr>
          <w:rFonts w:ascii="Times New Roman" w:hAnsi="Times New Roman" w:cs="Times New Roman"/>
          <w:sz w:val="24"/>
          <w:szCs w:val="24"/>
        </w:rPr>
      </w:pPr>
      <w:r>
        <w:rPr>
          <w:rFonts w:ascii="Times New Roman" w:hAnsi="Times New Roman" w:cs="Times New Roman"/>
          <w:sz w:val="24"/>
          <w:szCs w:val="24"/>
        </w:rPr>
        <w:t xml:space="preserve">Course completion rates of 68.3% for ABC or Passing and 78.0% for ABCD or Passing are consistent with fall 2011 course completion rates.  </w:t>
      </w:r>
    </w:p>
    <w:p w:rsidR="00EA402C" w:rsidRDefault="00EA402C" w:rsidP="005E3E57">
      <w:pPr>
        <w:pStyle w:val="NoSpacing"/>
        <w:rPr>
          <w:rFonts w:ascii="Times New Roman" w:hAnsi="Times New Roman" w:cs="Times New Roman"/>
          <w:sz w:val="24"/>
          <w:szCs w:val="24"/>
        </w:rPr>
      </w:pPr>
    </w:p>
    <w:p w:rsidR="006F62E1" w:rsidRPr="003D2366" w:rsidRDefault="003D2366" w:rsidP="005E3E57">
      <w:pPr>
        <w:pStyle w:val="NoSpacing"/>
        <w:rPr>
          <w:rFonts w:ascii="Times New Roman" w:hAnsi="Times New Roman" w:cs="Times New Roman"/>
          <w:b/>
          <w:sz w:val="24"/>
          <w:szCs w:val="24"/>
        </w:rPr>
      </w:pPr>
      <w:r w:rsidRPr="003D2366">
        <w:rPr>
          <w:rFonts w:ascii="Times New Roman" w:hAnsi="Times New Roman" w:cs="Times New Roman"/>
          <w:b/>
          <w:sz w:val="24"/>
          <w:szCs w:val="24"/>
        </w:rPr>
        <w:t>Graduates</w:t>
      </w:r>
    </w:p>
    <w:p w:rsidR="003D2366" w:rsidRDefault="003D2366" w:rsidP="005E3E57">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3D2366" w:rsidTr="005A1235">
        <w:tc>
          <w:tcPr>
            <w:tcW w:w="4788" w:type="dxa"/>
          </w:tcPr>
          <w:p w:rsidR="003D2366" w:rsidRDefault="008C4DBA" w:rsidP="005E3E57">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6080" cy="1755648"/>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755648"/>
                          </a:xfrm>
                          <a:prstGeom prst="rect">
                            <a:avLst/>
                          </a:prstGeom>
                          <a:noFill/>
                        </pic:spPr>
                      </pic:pic>
                    </a:graphicData>
                  </a:graphic>
                </wp:inline>
              </w:drawing>
            </w:r>
          </w:p>
        </w:tc>
        <w:tc>
          <w:tcPr>
            <w:tcW w:w="4788" w:type="dxa"/>
          </w:tcPr>
          <w:p w:rsidR="003D2366" w:rsidRDefault="008C4DBA" w:rsidP="005E3E57">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6080" cy="1755648"/>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755648"/>
                          </a:xfrm>
                          <a:prstGeom prst="rect">
                            <a:avLst/>
                          </a:prstGeom>
                          <a:noFill/>
                        </pic:spPr>
                      </pic:pic>
                    </a:graphicData>
                  </a:graphic>
                </wp:inline>
              </w:drawing>
            </w:r>
          </w:p>
        </w:tc>
      </w:tr>
    </w:tbl>
    <w:p w:rsidR="008A07B0" w:rsidRDefault="008A07B0" w:rsidP="005E3E57">
      <w:pPr>
        <w:pStyle w:val="NoSpacing"/>
        <w:rPr>
          <w:rFonts w:ascii="Times New Roman" w:hAnsi="Times New Roman" w:cs="Times New Roman"/>
          <w:sz w:val="24"/>
          <w:szCs w:val="24"/>
        </w:rPr>
      </w:pPr>
    </w:p>
    <w:p w:rsidR="008A07B0" w:rsidRDefault="004721AE" w:rsidP="005E3E57">
      <w:pPr>
        <w:pStyle w:val="NoSpacing"/>
        <w:rPr>
          <w:rFonts w:ascii="Times New Roman" w:hAnsi="Times New Roman" w:cs="Times New Roman"/>
          <w:sz w:val="24"/>
          <w:szCs w:val="24"/>
        </w:rPr>
        <w:sectPr w:rsidR="008A07B0">
          <w:footerReference w:type="default" r:id="rId36"/>
          <w:pgSz w:w="12240" w:h="15840"/>
          <w:pgMar w:top="1440" w:right="1440" w:bottom="1440" w:left="1440" w:header="720" w:footer="720" w:gutter="0"/>
          <w:cols w:space="720"/>
          <w:docGrid w:linePitch="360"/>
        </w:sectPr>
      </w:pPr>
      <w:r>
        <w:rPr>
          <w:rFonts w:ascii="Times New Roman" w:hAnsi="Times New Roman" w:cs="Times New Roman"/>
          <w:sz w:val="24"/>
          <w:szCs w:val="24"/>
        </w:rPr>
        <w:lastRenderedPageBreak/>
        <w:t>A total of 179 students graduated during fall semester 2012.  Pohnpeians represented 64% of graduates with the largest numbers of graduates in the Associate of Arts programs.  A table of graduates by major, degree and campus of graduation can be found below.</w:t>
      </w:r>
    </w:p>
    <w:p w:rsidR="008A07B0" w:rsidRDefault="008A07B0" w:rsidP="008A07B0">
      <w:pPr>
        <w:pStyle w:val="NoSpacing"/>
        <w:rPr>
          <w:sz w:val="18"/>
          <w:szCs w:val="18"/>
        </w:rPr>
      </w:pPr>
      <w:r w:rsidRPr="008A07B0">
        <w:rPr>
          <w:noProof/>
        </w:rPr>
        <w:lastRenderedPageBreak/>
        <w:drawing>
          <wp:inline distT="0" distB="0" distL="0" distR="0">
            <wp:extent cx="5943600" cy="6400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6400800"/>
                    </a:xfrm>
                    <a:prstGeom prst="rect">
                      <a:avLst/>
                    </a:prstGeom>
                    <a:noFill/>
                    <a:ln>
                      <a:noFill/>
                    </a:ln>
                  </pic:spPr>
                </pic:pic>
              </a:graphicData>
            </a:graphic>
          </wp:inline>
        </w:drawing>
      </w:r>
    </w:p>
    <w:p w:rsidR="003D2366" w:rsidRDefault="003D2366" w:rsidP="008A07B0">
      <w:pPr>
        <w:pStyle w:val="NoSpacing"/>
        <w:rPr>
          <w:sz w:val="18"/>
          <w:szCs w:val="18"/>
        </w:rPr>
      </w:pPr>
    </w:p>
    <w:p w:rsidR="003D2366" w:rsidRDefault="003D2366" w:rsidP="008A07B0">
      <w:pPr>
        <w:pStyle w:val="NoSpacing"/>
        <w:rPr>
          <w:sz w:val="18"/>
          <w:szCs w:val="18"/>
        </w:rPr>
      </w:pPr>
    </w:p>
    <w:p w:rsidR="003D2366" w:rsidRDefault="003D2366" w:rsidP="008A07B0">
      <w:pPr>
        <w:pStyle w:val="NoSpacing"/>
        <w:rPr>
          <w:sz w:val="18"/>
          <w:szCs w:val="18"/>
        </w:rPr>
        <w:sectPr w:rsidR="003D2366">
          <w:pgSz w:w="12240" w:h="15840"/>
          <w:pgMar w:top="1440" w:right="1440" w:bottom="1440" w:left="1440" w:header="720" w:footer="720" w:gutter="0"/>
          <w:cols w:space="720"/>
          <w:docGrid w:linePitch="360"/>
        </w:sectPr>
      </w:pPr>
    </w:p>
    <w:p w:rsidR="003D2366" w:rsidRDefault="003D2366" w:rsidP="008A07B0">
      <w:pPr>
        <w:pStyle w:val="NoSpacing"/>
        <w:rPr>
          <w:sz w:val="18"/>
          <w:szCs w:val="18"/>
        </w:rPr>
      </w:pPr>
    </w:p>
    <w:p w:rsidR="003D2366" w:rsidRPr="008A07B0" w:rsidRDefault="003D2366" w:rsidP="008A07B0">
      <w:pPr>
        <w:pStyle w:val="NoSpacing"/>
        <w:rPr>
          <w:sz w:val="18"/>
          <w:szCs w:val="18"/>
        </w:rPr>
      </w:pPr>
      <w:r w:rsidRPr="003D2366">
        <w:rPr>
          <w:noProof/>
        </w:rPr>
        <w:drawing>
          <wp:inline distT="0" distB="0" distL="0" distR="0">
            <wp:extent cx="5943600" cy="4437872"/>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437872"/>
                    </a:xfrm>
                    <a:prstGeom prst="rect">
                      <a:avLst/>
                    </a:prstGeom>
                    <a:noFill/>
                    <a:ln>
                      <a:noFill/>
                    </a:ln>
                  </pic:spPr>
                </pic:pic>
              </a:graphicData>
            </a:graphic>
          </wp:inline>
        </w:drawing>
      </w:r>
    </w:p>
    <w:sectPr w:rsidR="003D2366" w:rsidRPr="008A07B0" w:rsidSect="000E682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114" w:rsidRDefault="00957114" w:rsidP="005A1235">
      <w:pPr>
        <w:spacing w:after="0" w:line="240" w:lineRule="auto"/>
      </w:pPr>
      <w:r>
        <w:separator/>
      </w:r>
    </w:p>
  </w:endnote>
  <w:endnote w:type="continuationSeparator" w:id="0">
    <w:p w:rsidR="00957114" w:rsidRDefault="00957114" w:rsidP="005A1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281797"/>
      <w:docPartObj>
        <w:docPartGallery w:val="Page Numbers (Bottom of Page)"/>
        <w:docPartUnique/>
      </w:docPartObj>
    </w:sdtPr>
    <w:sdtEndPr>
      <w:rPr>
        <w:color w:val="808080" w:themeColor="background1" w:themeShade="80"/>
        <w:spacing w:val="60"/>
      </w:rPr>
    </w:sdtEndPr>
    <w:sdtContent>
      <w:p w:rsidR="005A1235" w:rsidRDefault="000E682B">
        <w:pPr>
          <w:pStyle w:val="Footer"/>
          <w:pBdr>
            <w:top w:val="single" w:sz="4" w:space="1" w:color="D9D9D9" w:themeColor="background1" w:themeShade="D9"/>
          </w:pBdr>
          <w:jc w:val="right"/>
        </w:pPr>
        <w:r>
          <w:fldChar w:fldCharType="begin"/>
        </w:r>
        <w:r w:rsidR="005A1235">
          <w:instrText xml:space="preserve"> PAGE   \* MERGEFORMAT </w:instrText>
        </w:r>
        <w:r>
          <w:fldChar w:fldCharType="separate"/>
        </w:r>
        <w:r w:rsidR="009817EC">
          <w:rPr>
            <w:noProof/>
          </w:rPr>
          <w:t>1</w:t>
        </w:r>
        <w:r>
          <w:rPr>
            <w:noProof/>
          </w:rPr>
          <w:fldChar w:fldCharType="end"/>
        </w:r>
        <w:r w:rsidR="005A1235">
          <w:t xml:space="preserve"> | </w:t>
        </w:r>
        <w:r w:rsidR="005A1235">
          <w:rPr>
            <w:color w:val="808080" w:themeColor="background1" w:themeShade="80"/>
            <w:spacing w:val="60"/>
          </w:rPr>
          <w:t>Page</w:t>
        </w:r>
      </w:p>
    </w:sdtContent>
  </w:sdt>
  <w:p w:rsidR="005A1235" w:rsidRDefault="005A12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114" w:rsidRDefault="00957114" w:rsidP="005A1235">
      <w:pPr>
        <w:spacing w:after="0" w:line="240" w:lineRule="auto"/>
      </w:pPr>
      <w:r>
        <w:separator/>
      </w:r>
    </w:p>
  </w:footnote>
  <w:footnote w:type="continuationSeparator" w:id="0">
    <w:p w:rsidR="00957114" w:rsidRDefault="00957114" w:rsidP="005A12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attachedTemplate r:id="rId1"/>
  <w:defaultTabStop w:val="720"/>
  <w:characterSpacingControl w:val="doNotCompress"/>
  <w:footnotePr>
    <w:footnote w:id="-1"/>
    <w:footnote w:id="0"/>
  </w:footnotePr>
  <w:endnotePr>
    <w:endnote w:id="-1"/>
    <w:endnote w:id="0"/>
  </w:endnotePr>
  <w:compat>
    <w:useFELayout/>
  </w:compat>
  <w:rsids>
    <w:rsidRoot w:val="005E3E57"/>
    <w:rsid w:val="00055A15"/>
    <w:rsid w:val="000E682B"/>
    <w:rsid w:val="00123D3B"/>
    <w:rsid w:val="00165956"/>
    <w:rsid w:val="001A1FF7"/>
    <w:rsid w:val="00266B75"/>
    <w:rsid w:val="0030450E"/>
    <w:rsid w:val="00343900"/>
    <w:rsid w:val="003A0B0F"/>
    <w:rsid w:val="003D2366"/>
    <w:rsid w:val="00447BC3"/>
    <w:rsid w:val="004721AE"/>
    <w:rsid w:val="00520567"/>
    <w:rsid w:val="00595DFA"/>
    <w:rsid w:val="005A1235"/>
    <w:rsid w:val="005E3E57"/>
    <w:rsid w:val="006F62E1"/>
    <w:rsid w:val="008A07B0"/>
    <w:rsid w:val="008B1A39"/>
    <w:rsid w:val="008C2BDC"/>
    <w:rsid w:val="008C4DBA"/>
    <w:rsid w:val="008D082D"/>
    <w:rsid w:val="00957114"/>
    <w:rsid w:val="009817EC"/>
    <w:rsid w:val="009865C4"/>
    <w:rsid w:val="009B4214"/>
    <w:rsid w:val="00A30687"/>
    <w:rsid w:val="00B424F5"/>
    <w:rsid w:val="00B73B3D"/>
    <w:rsid w:val="00C50498"/>
    <w:rsid w:val="00CF4118"/>
    <w:rsid w:val="00EA402C"/>
    <w:rsid w:val="00EF3043"/>
    <w:rsid w:val="00F213C2"/>
    <w:rsid w:val="00FC09E8"/>
    <w:rsid w:val="00FD5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8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049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498"/>
    <w:rPr>
      <w:color w:val="0000FF" w:themeColor="hyperlink"/>
      <w:u w:val="single"/>
    </w:rPr>
  </w:style>
  <w:style w:type="paragraph" w:styleId="BalloonText">
    <w:name w:val="Balloon Text"/>
    <w:basedOn w:val="Normal"/>
    <w:link w:val="BalloonTextChar"/>
    <w:uiPriority w:val="99"/>
    <w:semiHidden/>
    <w:unhideWhenUsed/>
    <w:rsid w:val="00C50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498"/>
    <w:rPr>
      <w:rFonts w:ascii="Tahoma" w:hAnsi="Tahoma" w:cs="Tahoma"/>
      <w:sz w:val="16"/>
      <w:szCs w:val="16"/>
    </w:rPr>
  </w:style>
  <w:style w:type="paragraph" w:styleId="NoSpacing">
    <w:name w:val="No Spacing"/>
    <w:uiPriority w:val="1"/>
    <w:qFormat/>
    <w:rsid w:val="00A30687"/>
    <w:pPr>
      <w:spacing w:after="0" w:line="240" w:lineRule="auto"/>
    </w:pPr>
  </w:style>
  <w:style w:type="paragraph" w:styleId="Caption">
    <w:name w:val="caption"/>
    <w:basedOn w:val="Normal"/>
    <w:next w:val="Normal"/>
    <w:uiPriority w:val="35"/>
    <w:unhideWhenUsed/>
    <w:qFormat/>
    <w:rsid w:val="00CF4118"/>
    <w:pPr>
      <w:spacing w:line="240" w:lineRule="auto"/>
    </w:pPr>
    <w:rPr>
      <w:b/>
      <w:bCs/>
      <w:color w:val="4F81BD" w:themeColor="accent1"/>
      <w:sz w:val="18"/>
      <w:szCs w:val="18"/>
    </w:rPr>
  </w:style>
  <w:style w:type="paragraph" w:styleId="Header">
    <w:name w:val="header"/>
    <w:basedOn w:val="Normal"/>
    <w:link w:val="HeaderChar"/>
    <w:uiPriority w:val="99"/>
    <w:unhideWhenUsed/>
    <w:rsid w:val="005A1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235"/>
  </w:style>
  <w:style w:type="paragraph" w:styleId="Footer">
    <w:name w:val="footer"/>
    <w:basedOn w:val="Normal"/>
    <w:link w:val="FooterChar"/>
    <w:uiPriority w:val="99"/>
    <w:unhideWhenUsed/>
    <w:rsid w:val="005A1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049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498"/>
    <w:rPr>
      <w:color w:val="0000FF" w:themeColor="hyperlink"/>
      <w:u w:val="single"/>
    </w:rPr>
  </w:style>
  <w:style w:type="paragraph" w:styleId="BalloonText">
    <w:name w:val="Balloon Text"/>
    <w:basedOn w:val="Normal"/>
    <w:link w:val="BalloonTextChar"/>
    <w:uiPriority w:val="99"/>
    <w:semiHidden/>
    <w:unhideWhenUsed/>
    <w:rsid w:val="00C50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498"/>
    <w:rPr>
      <w:rFonts w:ascii="Tahoma" w:hAnsi="Tahoma" w:cs="Tahoma"/>
      <w:sz w:val="16"/>
      <w:szCs w:val="16"/>
    </w:rPr>
  </w:style>
  <w:style w:type="paragraph" w:styleId="NoSpacing">
    <w:name w:val="No Spacing"/>
    <w:uiPriority w:val="1"/>
    <w:qFormat/>
    <w:rsid w:val="00A30687"/>
    <w:pPr>
      <w:spacing w:after="0" w:line="240" w:lineRule="auto"/>
    </w:pPr>
  </w:style>
  <w:style w:type="paragraph" w:styleId="Caption">
    <w:name w:val="caption"/>
    <w:basedOn w:val="Normal"/>
    <w:next w:val="Normal"/>
    <w:uiPriority w:val="35"/>
    <w:unhideWhenUsed/>
    <w:qFormat/>
    <w:rsid w:val="00CF4118"/>
    <w:pPr>
      <w:spacing w:line="240" w:lineRule="auto"/>
    </w:pPr>
    <w:rPr>
      <w:b/>
      <w:bCs/>
      <w:color w:val="4F81BD" w:themeColor="accent1"/>
      <w:sz w:val="18"/>
      <w:szCs w:val="18"/>
    </w:rPr>
  </w:style>
  <w:style w:type="paragraph" w:styleId="Header">
    <w:name w:val="header"/>
    <w:basedOn w:val="Normal"/>
    <w:link w:val="HeaderChar"/>
    <w:uiPriority w:val="99"/>
    <w:unhideWhenUsed/>
    <w:rsid w:val="005A1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235"/>
  </w:style>
  <w:style w:type="paragraph" w:styleId="Footer">
    <w:name w:val="footer"/>
    <w:basedOn w:val="Normal"/>
    <w:link w:val="FooterChar"/>
    <w:uiPriority w:val="99"/>
    <w:unhideWhenUsed/>
    <w:rsid w:val="005A1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23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chplanning@comfsm.f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3.emf"/><Relationship Id="rId34" Type="http://schemas.openxmlformats.org/officeDocument/2006/relationships/image" Target="media/image25.png"/><Relationship Id="rId7" Type="http://schemas.openxmlformats.org/officeDocument/2006/relationships/hyperlink" Target="mailto:rschplanning@comfsm.fm"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8.emf"/><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4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7.emf"/><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emf"/><Relationship Id="rId4" Type="http://schemas.openxmlformats.org/officeDocument/2006/relationships/footnotes" Target="footnotes.xml"/><Relationship Id="rId9" Type="http://schemas.openxmlformats.org/officeDocument/2006/relationships/hyperlink" Target="http://www.comfsm.fm/irpo/" TargetMode="External"/><Relationship Id="rId14" Type="http://schemas.openxmlformats.org/officeDocument/2006/relationships/image" Target="media/image6.png"/><Relationship Id="rId22" Type="http://schemas.openxmlformats.org/officeDocument/2006/relationships/package" Target="embeddings/Microsoft_Office_Excel_Worksheet1.xlsx"/><Relationship Id="rId27" Type="http://schemas.openxmlformats.org/officeDocument/2006/relationships/image" Target="media/image18.png"/><Relationship Id="rId30" Type="http://schemas.openxmlformats.org/officeDocument/2006/relationships/image" Target="media/image21.emf"/><Relationship Id="rId35" Type="http://schemas.openxmlformats.org/officeDocument/2006/relationships/image" Target="media/image2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my\AppData\Roaming\Microsoft\Templates\IRPO%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IRPO Report Template</Template>
  <TotalTime>1</TotalTime>
  <Pages>8</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Hicks</dc:creator>
  <cp:lastModifiedBy>Information Technology</cp:lastModifiedBy>
  <cp:revision>2</cp:revision>
  <cp:lastPrinted>2013-01-08T05:19:00Z</cp:lastPrinted>
  <dcterms:created xsi:type="dcterms:W3CDTF">2013-01-17T00:22:00Z</dcterms:created>
  <dcterms:modified xsi:type="dcterms:W3CDTF">2013-01-17T00:22:00Z</dcterms:modified>
</cp:coreProperties>
</file>